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45" w:rsidRDefault="002A3409">
      <w:pPr>
        <w:rPr>
          <w:b/>
        </w:rPr>
      </w:pPr>
      <w:r>
        <w:rPr>
          <w:b/>
        </w:rPr>
        <w:t xml:space="preserve">B2R – Transitional Living </w:t>
      </w:r>
    </w:p>
    <w:p w:rsidR="002A3409" w:rsidRPr="002A3409" w:rsidRDefault="00596BD6">
      <w:bookmarkStart w:id="0" w:name="_GoBack"/>
      <w:r>
        <w:t xml:space="preserve">The Bridge to Recovery Program at </w:t>
      </w:r>
      <w:r w:rsidR="002A3409">
        <w:t>Behavioral Health of the Palm Beaches provides comprehensive transitional living services to individuals in need of structure and life skill</w:t>
      </w:r>
      <w:r>
        <w:t>s</w:t>
      </w:r>
      <w:r w:rsidR="002A3409">
        <w:t xml:space="preserve"> training as part of their recovery from drugs or alcohol. We work with patients to successfully reintegrate into their lives</w:t>
      </w:r>
      <w:r>
        <w:t xml:space="preserve"> and</w:t>
      </w:r>
      <w:r w:rsidR="002A3409">
        <w:t xml:space="preserve"> </w:t>
      </w:r>
      <w:r>
        <w:t>after</w:t>
      </w:r>
      <w:r w:rsidR="002A3409">
        <w:t xml:space="preserve"> residential treatment by helping them focus on repairing their relationships with their families and developing clear and realistic post-treatment recovery plans. For those in recovery, building and maintaining a sober and indep</w:t>
      </w:r>
      <w:r>
        <w:t>endent life can be a lofty and challenging</w:t>
      </w:r>
      <w:r w:rsidR="002A3409">
        <w:t xml:space="preserve"> task. </w:t>
      </w:r>
      <w:r>
        <w:t xml:space="preserve">We provide transitional living assistance as part of our continuum of care so patients can avoid relapse and have the best chance of lasting recovery.  </w:t>
      </w:r>
      <w:bookmarkEnd w:id="0"/>
    </w:p>
    <w:sectPr w:rsidR="002A3409" w:rsidRPr="002A34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409"/>
    <w:rsid w:val="00097245"/>
    <w:rsid w:val="002A3409"/>
    <w:rsid w:val="0059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</dc:creator>
  <cp:lastModifiedBy>MPA</cp:lastModifiedBy>
  <cp:revision>1</cp:revision>
  <dcterms:created xsi:type="dcterms:W3CDTF">2013-03-13T15:17:00Z</dcterms:created>
  <dcterms:modified xsi:type="dcterms:W3CDTF">2013-03-13T15:34:00Z</dcterms:modified>
</cp:coreProperties>
</file>